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94" w:rsidRPr="00FF05F5" w:rsidRDefault="00EB63BC" w:rsidP="00FF05F5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FF05F5">
        <w:rPr>
          <w:rFonts w:ascii="Arial" w:hAnsi="Arial" w:cs="Arial"/>
          <w:b/>
          <w:sz w:val="32"/>
        </w:rPr>
        <w:t>CONVOCATORIA</w:t>
      </w:r>
    </w:p>
    <w:p w:rsidR="00EB63BC" w:rsidRPr="00FF05F5" w:rsidRDefault="00EB63BC" w:rsidP="00FF05F5">
      <w:pPr>
        <w:jc w:val="both"/>
        <w:rPr>
          <w:rFonts w:ascii="Arial" w:hAnsi="Arial" w:cs="Arial"/>
          <w:sz w:val="32"/>
        </w:rPr>
      </w:pPr>
    </w:p>
    <w:p w:rsidR="00EB63BC" w:rsidRPr="00EB63BC" w:rsidRDefault="00EB63BC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</w:p>
    <w:p w:rsidR="00FF05F5" w:rsidRPr="00FF05F5" w:rsidRDefault="00EB63BC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  <w:r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El Consultorio Jurídico y </w:t>
      </w:r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El Centro de Conciliación "Re-concilémonos" de la Universidad de Pamplona sede Villa del Rosario,  abre convocatoria para los Abogados en Formación</w:t>
      </w:r>
      <w:r w:rsidR="00FF05F5"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Miembros Activos de Consultorio Jurídico</w:t>
      </w:r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, con el fin de que </w:t>
      </w:r>
      <w:r w:rsidR="002B6882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hagan</w:t>
      </w:r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parte de</w:t>
      </w:r>
      <w:r w:rsidR="00FF05F5"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</w:t>
      </w:r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l</w:t>
      </w:r>
      <w:r w:rsidR="00FF05F5"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os</w:t>
      </w:r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</w:t>
      </w:r>
      <w:r w:rsidR="00FF05F5"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siguientes </w:t>
      </w:r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Grupo</w:t>
      </w:r>
      <w:r w:rsidR="00FF05F5"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s</w:t>
      </w:r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Especializado</w:t>
      </w:r>
      <w:r w:rsidR="00FF05F5"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s</w:t>
      </w:r>
      <w:r w:rsidR="002B6882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y reciban la respectiva capacitación</w:t>
      </w:r>
      <w:r w:rsidR="00FF05F5"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:</w:t>
      </w:r>
    </w:p>
    <w:p w:rsidR="003F038A" w:rsidRDefault="003F038A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</w:p>
    <w:tbl>
      <w:tblPr>
        <w:tblStyle w:val="Tablaconcuadrcula"/>
        <w:tblpPr w:leftFromText="141" w:rightFromText="141" w:vertAnchor="text" w:horzAnchor="margin" w:tblpXSpec="center" w:tblpY="226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1257"/>
        <w:gridCol w:w="2559"/>
        <w:gridCol w:w="1993"/>
        <w:gridCol w:w="2454"/>
      </w:tblGrid>
      <w:tr w:rsidR="002B6882" w:rsidTr="002B6882">
        <w:trPr>
          <w:jc w:val="center"/>
        </w:trPr>
        <w:tc>
          <w:tcPr>
            <w:tcW w:w="565" w:type="dxa"/>
            <w:vAlign w:val="center"/>
          </w:tcPr>
          <w:p w:rsidR="00F22AD2" w:rsidRDefault="00F22AD2" w:rsidP="002B688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N°</w:t>
            </w:r>
          </w:p>
        </w:tc>
        <w:tc>
          <w:tcPr>
            <w:tcW w:w="1257" w:type="dxa"/>
            <w:vAlign w:val="center"/>
          </w:tcPr>
          <w:p w:rsidR="00F22AD2" w:rsidRDefault="00F22AD2" w:rsidP="002B688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ÁREA</w:t>
            </w:r>
          </w:p>
        </w:tc>
        <w:tc>
          <w:tcPr>
            <w:tcW w:w="2559" w:type="dxa"/>
            <w:vAlign w:val="center"/>
          </w:tcPr>
          <w:p w:rsidR="00F22AD2" w:rsidRDefault="00F22AD2" w:rsidP="002B688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GRUPO ESPECIALIZADO</w:t>
            </w:r>
          </w:p>
        </w:tc>
        <w:tc>
          <w:tcPr>
            <w:tcW w:w="1993" w:type="dxa"/>
            <w:vAlign w:val="center"/>
          </w:tcPr>
          <w:p w:rsidR="00F22AD2" w:rsidRDefault="00F22AD2" w:rsidP="002B688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TEMA</w:t>
            </w:r>
          </w:p>
        </w:tc>
        <w:tc>
          <w:tcPr>
            <w:tcW w:w="2454" w:type="dxa"/>
            <w:vAlign w:val="center"/>
          </w:tcPr>
          <w:p w:rsidR="00F22AD2" w:rsidRDefault="00F22AD2" w:rsidP="002B688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NÚMERO DE PARTICIPANTES</w:t>
            </w:r>
          </w:p>
        </w:tc>
      </w:tr>
      <w:tr w:rsidR="002B6882" w:rsidTr="002B6882">
        <w:trPr>
          <w:jc w:val="center"/>
        </w:trPr>
        <w:tc>
          <w:tcPr>
            <w:tcW w:w="565" w:type="dxa"/>
          </w:tcPr>
          <w:p w:rsidR="00F22AD2" w:rsidRDefault="00F22AD2" w:rsidP="002B688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1</w:t>
            </w:r>
          </w:p>
        </w:tc>
        <w:tc>
          <w:tcPr>
            <w:tcW w:w="1257" w:type="dxa"/>
          </w:tcPr>
          <w:p w:rsidR="00F22AD2" w:rsidRDefault="00F22AD2" w:rsidP="002B688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Laboral</w:t>
            </w:r>
          </w:p>
        </w:tc>
        <w:tc>
          <w:tcPr>
            <w:tcW w:w="2559" w:type="dxa"/>
          </w:tcPr>
          <w:p w:rsidR="00F22AD2" w:rsidRDefault="00F22AD2" w:rsidP="002B688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Gestión en Asuntos Laborales</w:t>
            </w:r>
          </w:p>
        </w:tc>
        <w:tc>
          <w:tcPr>
            <w:tcW w:w="1993" w:type="dxa"/>
          </w:tcPr>
          <w:p w:rsidR="00F22AD2" w:rsidRDefault="002365CB" w:rsidP="002B688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Prestaciones Sociales</w:t>
            </w:r>
          </w:p>
        </w:tc>
        <w:tc>
          <w:tcPr>
            <w:tcW w:w="2454" w:type="dxa"/>
          </w:tcPr>
          <w:p w:rsidR="00F22AD2" w:rsidRDefault="002B6882" w:rsidP="003614F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10</w:t>
            </w:r>
          </w:p>
        </w:tc>
      </w:tr>
      <w:tr w:rsidR="002B6882" w:rsidTr="002B6882">
        <w:trPr>
          <w:jc w:val="center"/>
        </w:trPr>
        <w:tc>
          <w:tcPr>
            <w:tcW w:w="565" w:type="dxa"/>
          </w:tcPr>
          <w:p w:rsidR="00F22AD2" w:rsidRDefault="00F22AD2" w:rsidP="002B688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2</w:t>
            </w:r>
          </w:p>
        </w:tc>
        <w:tc>
          <w:tcPr>
            <w:tcW w:w="1257" w:type="dxa"/>
          </w:tcPr>
          <w:p w:rsidR="00F22AD2" w:rsidRDefault="00F22AD2" w:rsidP="002B688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Penal</w:t>
            </w:r>
          </w:p>
        </w:tc>
        <w:tc>
          <w:tcPr>
            <w:tcW w:w="2559" w:type="dxa"/>
          </w:tcPr>
          <w:p w:rsidR="00F22AD2" w:rsidRDefault="002B6882" w:rsidP="002B688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Gestión en Asuntos Penales</w:t>
            </w:r>
          </w:p>
        </w:tc>
        <w:tc>
          <w:tcPr>
            <w:tcW w:w="1993" w:type="dxa"/>
          </w:tcPr>
          <w:p w:rsidR="00F22AD2" w:rsidRDefault="007A2094" w:rsidP="002B688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Inasistencia Alimentaria Víctima e Imputado</w:t>
            </w:r>
          </w:p>
        </w:tc>
        <w:tc>
          <w:tcPr>
            <w:tcW w:w="2454" w:type="dxa"/>
          </w:tcPr>
          <w:p w:rsidR="00F22AD2" w:rsidRDefault="002B6882" w:rsidP="003614F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10</w:t>
            </w:r>
          </w:p>
        </w:tc>
      </w:tr>
      <w:tr w:rsidR="002B6882" w:rsidTr="002B6882">
        <w:trPr>
          <w:jc w:val="center"/>
        </w:trPr>
        <w:tc>
          <w:tcPr>
            <w:tcW w:w="565" w:type="dxa"/>
            <w:vMerge w:val="restart"/>
          </w:tcPr>
          <w:p w:rsidR="002B6882" w:rsidRDefault="002B6882" w:rsidP="002B688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3</w:t>
            </w:r>
          </w:p>
        </w:tc>
        <w:tc>
          <w:tcPr>
            <w:tcW w:w="1257" w:type="dxa"/>
            <w:vMerge w:val="restart"/>
          </w:tcPr>
          <w:p w:rsidR="002B6882" w:rsidRDefault="002B6882" w:rsidP="002B688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Público</w:t>
            </w:r>
          </w:p>
        </w:tc>
        <w:tc>
          <w:tcPr>
            <w:tcW w:w="2559" w:type="dxa"/>
          </w:tcPr>
          <w:p w:rsidR="002B6882" w:rsidRDefault="002B6882" w:rsidP="002B688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Grupo PSD</w:t>
            </w:r>
          </w:p>
        </w:tc>
        <w:tc>
          <w:tcPr>
            <w:tcW w:w="1993" w:type="dxa"/>
          </w:tcPr>
          <w:p w:rsidR="002B6882" w:rsidRDefault="002B6882" w:rsidP="002B688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 xml:space="preserve">Atención a personas víctimas </w:t>
            </w:r>
          </w:p>
        </w:tc>
        <w:tc>
          <w:tcPr>
            <w:tcW w:w="2454" w:type="dxa"/>
          </w:tcPr>
          <w:p w:rsidR="002B6882" w:rsidRDefault="002B6882" w:rsidP="003614F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25</w:t>
            </w:r>
          </w:p>
        </w:tc>
      </w:tr>
      <w:tr w:rsidR="002B6882" w:rsidTr="002B6882">
        <w:trPr>
          <w:jc w:val="center"/>
        </w:trPr>
        <w:tc>
          <w:tcPr>
            <w:tcW w:w="565" w:type="dxa"/>
            <w:vMerge/>
          </w:tcPr>
          <w:p w:rsidR="002B6882" w:rsidRDefault="002B6882" w:rsidP="002B688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</w:p>
        </w:tc>
        <w:tc>
          <w:tcPr>
            <w:tcW w:w="1257" w:type="dxa"/>
            <w:vMerge/>
          </w:tcPr>
          <w:p w:rsidR="002B6882" w:rsidRDefault="002B6882" w:rsidP="002B688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</w:p>
        </w:tc>
        <w:tc>
          <w:tcPr>
            <w:tcW w:w="2559" w:type="dxa"/>
          </w:tcPr>
          <w:p w:rsidR="002B6882" w:rsidRDefault="002B6882" w:rsidP="002B688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Gestiones APC</w:t>
            </w:r>
          </w:p>
        </w:tc>
        <w:tc>
          <w:tcPr>
            <w:tcW w:w="1993" w:type="dxa"/>
          </w:tcPr>
          <w:p w:rsidR="002B6882" w:rsidRDefault="002B6882" w:rsidP="002B688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Acciones Populares y de Cumplimiento</w:t>
            </w:r>
          </w:p>
        </w:tc>
        <w:tc>
          <w:tcPr>
            <w:tcW w:w="2454" w:type="dxa"/>
          </w:tcPr>
          <w:p w:rsidR="002B6882" w:rsidRDefault="002B6882" w:rsidP="003614F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10</w:t>
            </w:r>
          </w:p>
        </w:tc>
      </w:tr>
      <w:tr w:rsidR="002B6882" w:rsidTr="002B6882">
        <w:trPr>
          <w:jc w:val="center"/>
        </w:trPr>
        <w:tc>
          <w:tcPr>
            <w:tcW w:w="565" w:type="dxa"/>
            <w:vMerge/>
          </w:tcPr>
          <w:p w:rsidR="002B6882" w:rsidRDefault="002B6882" w:rsidP="002B688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</w:p>
        </w:tc>
        <w:tc>
          <w:tcPr>
            <w:tcW w:w="1257" w:type="dxa"/>
            <w:vMerge/>
          </w:tcPr>
          <w:p w:rsidR="002B6882" w:rsidRDefault="002B6882" w:rsidP="002B688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</w:p>
        </w:tc>
        <w:tc>
          <w:tcPr>
            <w:tcW w:w="2559" w:type="dxa"/>
          </w:tcPr>
          <w:p w:rsidR="002B6882" w:rsidRDefault="002B6882" w:rsidP="002B688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Gestión de Defensa Disciplinaria</w:t>
            </w:r>
          </w:p>
        </w:tc>
        <w:tc>
          <w:tcPr>
            <w:tcW w:w="1993" w:type="dxa"/>
          </w:tcPr>
          <w:p w:rsidR="002B6882" w:rsidRDefault="002B6882" w:rsidP="002B688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Asuntos Disciplinarios</w:t>
            </w:r>
          </w:p>
        </w:tc>
        <w:tc>
          <w:tcPr>
            <w:tcW w:w="2454" w:type="dxa"/>
          </w:tcPr>
          <w:p w:rsidR="002B6882" w:rsidRDefault="002B6882" w:rsidP="003614F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15</w:t>
            </w:r>
          </w:p>
        </w:tc>
      </w:tr>
      <w:tr w:rsidR="002B6882" w:rsidTr="002B6882">
        <w:trPr>
          <w:jc w:val="center"/>
        </w:trPr>
        <w:tc>
          <w:tcPr>
            <w:tcW w:w="565" w:type="dxa"/>
            <w:vMerge/>
          </w:tcPr>
          <w:p w:rsidR="002B6882" w:rsidRDefault="002B6882" w:rsidP="002B688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</w:p>
        </w:tc>
        <w:tc>
          <w:tcPr>
            <w:tcW w:w="1257" w:type="dxa"/>
            <w:vMerge/>
          </w:tcPr>
          <w:p w:rsidR="002B6882" w:rsidRDefault="002B6882" w:rsidP="002B688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</w:p>
        </w:tc>
        <w:tc>
          <w:tcPr>
            <w:tcW w:w="2559" w:type="dxa"/>
          </w:tcPr>
          <w:p w:rsidR="002B6882" w:rsidRDefault="002B6882" w:rsidP="002B6882">
            <w:pP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Grupo PEYTU</w:t>
            </w:r>
          </w:p>
        </w:tc>
        <w:tc>
          <w:tcPr>
            <w:tcW w:w="1993" w:type="dxa"/>
          </w:tcPr>
          <w:p w:rsidR="002B6882" w:rsidRDefault="002B6882" w:rsidP="002B688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Ley 1755 del 2015 y Decreto 2591  de 1991</w:t>
            </w:r>
          </w:p>
        </w:tc>
        <w:tc>
          <w:tcPr>
            <w:tcW w:w="2454" w:type="dxa"/>
          </w:tcPr>
          <w:p w:rsidR="002B6882" w:rsidRDefault="002B6882" w:rsidP="003614F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25</w:t>
            </w:r>
          </w:p>
        </w:tc>
      </w:tr>
      <w:tr w:rsidR="002B6882" w:rsidTr="002B6882">
        <w:trPr>
          <w:jc w:val="center"/>
        </w:trPr>
        <w:tc>
          <w:tcPr>
            <w:tcW w:w="565" w:type="dxa"/>
          </w:tcPr>
          <w:p w:rsidR="002365CB" w:rsidRDefault="002B6882" w:rsidP="002B688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4</w:t>
            </w:r>
          </w:p>
        </w:tc>
        <w:tc>
          <w:tcPr>
            <w:tcW w:w="1257" w:type="dxa"/>
          </w:tcPr>
          <w:p w:rsidR="002365CB" w:rsidRDefault="002365CB" w:rsidP="002B688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</w:p>
        </w:tc>
        <w:tc>
          <w:tcPr>
            <w:tcW w:w="2559" w:type="dxa"/>
          </w:tcPr>
          <w:p w:rsidR="002365CB" w:rsidRDefault="003614F3" w:rsidP="002B688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Gestión en derechos para infancia y adolescencia</w:t>
            </w:r>
          </w:p>
        </w:tc>
        <w:tc>
          <w:tcPr>
            <w:tcW w:w="1993" w:type="dxa"/>
          </w:tcPr>
          <w:p w:rsidR="002365CB" w:rsidRDefault="002B6882" w:rsidP="002B688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 xml:space="preserve">Procesos de Alimentos: Ofrecimiento, Fijación, Disminución, Exoneración y </w:t>
            </w: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lastRenderedPageBreak/>
              <w:t xml:space="preserve">Ejecutivo.  </w:t>
            </w:r>
            <w:r w:rsidR="003614F3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Custodia y Cuidado Personal y  Regulación de Visitas.</w:t>
            </w:r>
          </w:p>
        </w:tc>
        <w:tc>
          <w:tcPr>
            <w:tcW w:w="2454" w:type="dxa"/>
          </w:tcPr>
          <w:p w:rsidR="002365CB" w:rsidRDefault="002B6882" w:rsidP="003614F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lastRenderedPageBreak/>
              <w:t>20</w:t>
            </w:r>
          </w:p>
        </w:tc>
      </w:tr>
      <w:tr w:rsidR="002B6882" w:rsidTr="002B6882">
        <w:trPr>
          <w:jc w:val="center"/>
        </w:trPr>
        <w:tc>
          <w:tcPr>
            <w:tcW w:w="565" w:type="dxa"/>
          </w:tcPr>
          <w:p w:rsidR="002B6882" w:rsidRDefault="002B6882" w:rsidP="002B688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lastRenderedPageBreak/>
              <w:t>5</w:t>
            </w:r>
          </w:p>
        </w:tc>
        <w:tc>
          <w:tcPr>
            <w:tcW w:w="1257" w:type="dxa"/>
          </w:tcPr>
          <w:p w:rsidR="002B6882" w:rsidRDefault="002B6882" w:rsidP="002B688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</w:p>
        </w:tc>
        <w:tc>
          <w:tcPr>
            <w:tcW w:w="2559" w:type="dxa"/>
          </w:tcPr>
          <w:p w:rsidR="002B6882" w:rsidRDefault="002B6882" w:rsidP="002B688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Grupo MASC</w:t>
            </w:r>
          </w:p>
        </w:tc>
        <w:tc>
          <w:tcPr>
            <w:tcW w:w="1993" w:type="dxa"/>
          </w:tcPr>
          <w:p w:rsidR="002B6882" w:rsidRDefault="002B6882" w:rsidP="002B688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Conciliación</w:t>
            </w:r>
          </w:p>
        </w:tc>
        <w:tc>
          <w:tcPr>
            <w:tcW w:w="2454" w:type="dxa"/>
          </w:tcPr>
          <w:p w:rsidR="002B6882" w:rsidRDefault="002B6882" w:rsidP="003614F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es-CO"/>
              </w:rPr>
              <w:t>20</w:t>
            </w:r>
          </w:p>
        </w:tc>
      </w:tr>
    </w:tbl>
    <w:p w:rsidR="003F038A" w:rsidRDefault="003F038A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</w:p>
    <w:p w:rsidR="003F038A" w:rsidRDefault="003F038A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</w:p>
    <w:p w:rsidR="00FF05F5" w:rsidRPr="007A2094" w:rsidRDefault="00FF05F5" w:rsidP="007A2094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</w:p>
    <w:p w:rsidR="00EB63BC" w:rsidRPr="00EB63BC" w:rsidRDefault="00EB63BC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</w:p>
    <w:p w:rsidR="00EB63BC" w:rsidRPr="00FF05F5" w:rsidRDefault="00EB63BC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Los interesados</w:t>
      </w:r>
      <w:r w:rsidR="00FF05F5"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pueden inscribirse en </w:t>
      </w:r>
      <w:r w:rsidR="003614F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las instalaciones del</w:t>
      </w:r>
      <w:r w:rsidR="00FF05F5"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Consultorio Jurídico</w:t>
      </w:r>
      <w:r w:rsidR="003614F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</w:t>
      </w:r>
      <w:r w:rsidR="00FF05F5"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o</w:t>
      </w:r>
      <w:r w:rsidR="003614F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</w:t>
      </w:r>
      <w:r w:rsidR="00FF05F5"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por el correo electrónico </w:t>
      </w:r>
      <w:hyperlink r:id="rId6" w:history="1">
        <w:r w:rsidR="003614F3" w:rsidRPr="00943FB6">
          <w:rPr>
            <w:rStyle w:val="Hipervnculo"/>
            <w:rFonts w:ascii="Arial" w:eastAsia="Times New Roman" w:hAnsi="Arial" w:cs="Arial"/>
            <w:sz w:val="28"/>
            <w:szCs w:val="24"/>
            <w:lang w:eastAsia="es-CO"/>
          </w:rPr>
          <w:t>consultoriojuridicovilla@unipamplona.edu.co</w:t>
        </w:r>
      </w:hyperlink>
      <w:r w:rsidR="003614F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fecha límite de inscripción hasta el día Jueves 6</w:t>
      </w:r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de </w:t>
      </w:r>
      <w:r w:rsidR="00FF05F5"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Agosto</w:t>
      </w:r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de</w:t>
      </w:r>
      <w:r w:rsidR="003614F3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l</w:t>
      </w:r>
      <w:r w:rsidRPr="00EB63BC">
        <w:rPr>
          <w:rFonts w:ascii="Arial" w:eastAsia="Times New Roman" w:hAnsi="Arial" w:cs="Arial"/>
          <w:color w:val="000000"/>
          <w:sz w:val="28"/>
          <w:szCs w:val="24"/>
          <w:lang w:eastAsia="es-CO"/>
        </w:rPr>
        <w:t xml:space="preserve"> año 2015</w:t>
      </w:r>
      <w:r w:rsidR="00FF05F5" w:rsidRPr="00FF05F5">
        <w:rPr>
          <w:rFonts w:ascii="Arial" w:eastAsia="Times New Roman" w:hAnsi="Arial" w:cs="Arial"/>
          <w:color w:val="000000"/>
          <w:sz w:val="28"/>
          <w:szCs w:val="24"/>
          <w:lang w:eastAsia="es-CO"/>
        </w:rPr>
        <w:t>.</w:t>
      </w:r>
    </w:p>
    <w:p w:rsidR="00FF05F5" w:rsidRPr="00EB63BC" w:rsidRDefault="00FF05F5" w:rsidP="00FF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es-CO"/>
        </w:rPr>
      </w:pPr>
    </w:p>
    <w:p w:rsidR="00FF05F5" w:rsidRPr="00391FF4" w:rsidRDefault="009024C1" w:rsidP="00FF05F5">
      <w:pPr>
        <w:jc w:val="both"/>
        <w:rPr>
          <w:rFonts w:ascii="Arial" w:hAnsi="Arial" w:cs="Arial"/>
          <w:sz w:val="28"/>
          <w:szCs w:val="28"/>
        </w:rPr>
      </w:pPr>
      <w:r w:rsidRPr="00391FF4">
        <w:rPr>
          <w:rFonts w:ascii="Arial" w:hAnsi="Arial" w:cs="Arial"/>
          <w:sz w:val="28"/>
          <w:szCs w:val="28"/>
        </w:rPr>
        <w:t>Jornadas de capacitación se realizará entre los días 10 al 14 de agosto según programación que será allegada a los correos personales de los inscritos</w:t>
      </w:r>
    </w:p>
    <w:sectPr w:rsidR="00FF05F5" w:rsidRPr="00391F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91CEF"/>
    <w:multiLevelType w:val="hybridMultilevel"/>
    <w:tmpl w:val="A29834A0"/>
    <w:lvl w:ilvl="0" w:tplc="BB9002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BC"/>
    <w:rsid w:val="002365CB"/>
    <w:rsid w:val="002B6882"/>
    <w:rsid w:val="003614F3"/>
    <w:rsid w:val="00391FF4"/>
    <w:rsid w:val="003D2FF0"/>
    <w:rsid w:val="003F038A"/>
    <w:rsid w:val="00491912"/>
    <w:rsid w:val="007A2094"/>
    <w:rsid w:val="009024C1"/>
    <w:rsid w:val="00AA1849"/>
    <w:rsid w:val="00BA45CB"/>
    <w:rsid w:val="00BC529F"/>
    <w:rsid w:val="00E61526"/>
    <w:rsid w:val="00EB63BC"/>
    <w:rsid w:val="00F22AD2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B63BC"/>
  </w:style>
  <w:style w:type="paragraph" w:styleId="Prrafodelista">
    <w:name w:val="List Paragraph"/>
    <w:basedOn w:val="Normal"/>
    <w:uiPriority w:val="34"/>
    <w:qFormat/>
    <w:rsid w:val="00FF05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05F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F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B63BC"/>
  </w:style>
  <w:style w:type="paragraph" w:styleId="Prrafodelista">
    <w:name w:val="List Paragraph"/>
    <w:basedOn w:val="Normal"/>
    <w:uiPriority w:val="34"/>
    <w:qFormat/>
    <w:rsid w:val="00FF05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05F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F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toriojuridicovilla@unipamplona.edu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Estampillas</cp:lastModifiedBy>
  <cp:revision>2</cp:revision>
  <dcterms:created xsi:type="dcterms:W3CDTF">2015-08-04T13:24:00Z</dcterms:created>
  <dcterms:modified xsi:type="dcterms:W3CDTF">2015-08-04T13:24:00Z</dcterms:modified>
</cp:coreProperties>
</file>