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545"/>
        <w:gridCol w:w="556"/>
        <w:gridCol w:w="117"/>
        <w:gridCol w:w="1239"/>
        <w:gridCol w:w="439"/>
        <w:gridCol w:w="1071"/>
        <w:gridCol w:w="1280"/>
        <w:gridCol w:w="16"/>
        <w:gridCol w:w="667"/>
        <w:gridCol w:w="717"/>
        <w:gridCol w:w="706"/>
        <w:gridCol w:w="2341"/>
        <w:gridCol w:w="6"/>
      </w:tblGrid>
      <w:tr w:rsidR="0016669F" w:rsidRPr="0016669F" w14:paraId="6802C752" w14:textId="77777777" w:rsidTr="00A15492">
        <w:trPr>
          <w:trHeight w:val="270"/>
        </w:trPr>
        <w:tc>
          <w:tcPr>
            <w:tcW w:w="342" w:type="pct"/>
            <w:vMerge w:val="restart"/>
            <w:shd w:val="clear" w:color="auto" w:fill="EAF1DD" w:themeFill="accent3" w:themeFillTint="33"/>
            <w:hideMark/>
          </w:tcPr>
          <w:p w14:paraId="2FA446C9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14:paraId="4C3C5686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  <w:t>DD</w:t>
            </w:r>
          </w:p>
        </w:tc>
        <w:tc>
          <w:tcPr>
            <w:tcW w:w="345" w:type="pct"/>
            <w:gridSpan w:val="2"/>
            <w:vMerge w:val="restart"/>
            <w:shd w:val="clear" w:color="auto" w:fill="auto"/>
            <w:hideMark/>
          </w:tcPr>
          <w:p w14:paraId="41D033C9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  <w:t>MM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6B5F8F71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  <w:t>AA</w:t>
            </w:r>
          </w:p>
        </w:tc>
        <w:tc>
          <w:tcPr>
            <w:tcW w:w="77" w:type="pct"/>
            <w:vMerge w:val="restart"/>
            <w:shd w:val="clear" w:color="auto" w:fill="EAF1DD" w:themeFill="accent3" w:themeFillTint="33"/>
            <w:hideMark/>
          </w:tcPr>
          <w:p w14:paraId="4C0ED1B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  <w:t>Hora</w:t>
            </w:r>
          </w:p>
        </w:tc>
        <w:tc>
          <w:tcPr>
            <w:tcW w:w="526" w:type="pct"/>
            <w:vMerge w:val="restart"/>
            <w:shd w:val="clear" w:color="auto" w:fill="auto"/>
            <w:noWrap/>
            <w:hideMark/>
          </w:tcPr>
          <w:p w14:paraId="6F8F660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 </w:t>
            </w:r>
          </w:p>
        </w:tc>
        <w:tc>
          <w:tcPr>
            <w:tcW w:w="640" w:type="pct"/>
            <w:gridSpan w:val="2"/>
            <w:shd w:val="clear" w:color="auto" w:fill="auto"/>
            <w:noWrap/>
            <w:hideMark/>
          </w:tcPr>
          <w:p w14:paraId="6B4984D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  <w:t>AM</w:t>
            </w:r>
          </w:p>
        </w:tc>
        <w:tc>
          <w:tcPr>
            <w:tcW w:w="2190" w:type="pct"/>
            <w:gridSpan w:val="5"/>
            <w:vMerge w:val="restart"/>
            <w:shd w:val="clear" w:color="auto" w:fill="auto"/>
            <w:hideMark/>
          </w:tcPr>
          <w:p w14:paraId="5CF35C6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Servicio:</w:t>
            </w:r>
          </w:p>
          <w:p w14:paraId="03E7A071" w14:textId="1D017BB4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16669F" w:rsidRPr="0016669F" w14:paraId="018170EE" w14:textId="77777777" w:rsidTr="00A15492">
        <w:trPr>
          <w:trHeight w:val="315"/>
        </w:trPr>
        <w:tc>
          <w:tcPr>
            <w:tcW w:w="342" w:type="pct"/>
            <w:vMerge/>
            <w:shd w:val="clear" w:color="auto" w:fill="EAF1DD" w:themeFill="accent3" w:themeFillTint="33"/>
            <w:vAlign w:val="center"/>
            <w:hideMark/>
          </w:tcPr>
          <w:p w14:paraId="4DA57E7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14:paraId="60F06CDF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345" w:type="pct"/>
            <w:gridSpan w:val="2"/>
            <w:vMerge/>
            <w:vAlign w:val="center"/>
            <w:hideMark/>
          </w:tcPr>
          <w:p w14:paraId="028D8D3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B6F478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77" w:type="pct"/>
            <w:vMerge/>
            <w:shd w:val="clear" w:color="auto" w:fill="EAF1DD" w:themeFill="accent3" w:themeFillTint="33"/>
            <w:vAlign w:val="center"/>
            <w:hideMark/>
          </w:tcPr>
          <w:p w14:paraId="4717EA0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14:paraId="7B78D84E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</w:p>
        </w:tc>
        <w:tc>
          <w:tcPr>
            <w:tcW w:w="640" w:type="pct"/>
            <w:gridSpan w:val="2"/>
            <w:shd w:val="clear" w:color="auto" w:fill="auto"/>
            <w:noWrap/>
            <w:hideMark/>
          </w:tcPr>
          <w:p w14:paraId="660F22D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s-CO" w:eastAsia="es-CO"/>
              </w:rPr>
              <w:t>PM</w:t>
            </w:r>
          </w:p>
        </w:tc>
        <w:tc>
          <w:tcPr>
            <w:tcW w:w="2190" w:type="pct"/>
            <w:gridSpan w:val="5"/>
            <w:vMerge/>
            <w:vAlign w:val="center"/>
            <w:hideMark/>
          </w:tcPr>
          <w:p w14:paraId="5CBAB36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val="es-CO" w:eastAsia="es-CO"/>
              </w:rPr>
            </w:pPr>
          </w:p>
        </w:tc>
      </w:tr>
      <w:tr w:rsidR="0016669F" w:rsidRPr="0016669F" w14:paraId="3E21D675" w14:textId="77777777" w:rsidTr="00A15492">
        <w:trPr>
          <w:gridAfter w:val="1"/>
          <w:wAfter w:w="13" w:type="pct"/>
          <w:trHeight w:val="626"/>
        </w:trPr>
        <w:tc>
          <w:tcPr>
            <w:tcW w:w="342" w:type="pct"/>
            <w:shd w:val="clear" w:color="auto" w:fill="EAF1DD" w:themeFill="accent3" w:themeFillTint="33"/>
            <w:vAlign w:val="center"/>
            <w:hideMark/>
          </w:tcPr>
          <w:p w14:paraId="5DD60D43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2454" w:type="pct"/>
            <w:gridSpan w:val="7"/>
            <w:shd w:val="clear" w:color="auto" w:fill="EAF1DD" w:themeFill="accent3" w:themeFillTint="33"/>
            <w:noWrap/>
            <w:vAlign w:val="center"/>
            <w:hideMark/>
          </w:tcPr>
          <w:p w14:paraId="77C7A305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ITEM</w:t>
            </w:r>
            <w:bookmarkStart w:id="0" w:name="_GoBack"/>
            <w:bookmarkEnd w:id="0"/>
          </w:p>
        </w:tc>
        <w:tc>
          <w:tcPr>
            <w:tcW w:w="349" w:type="pct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7A2861BF" w14:textId="69DB3920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C</w:t>
            </w:r>
          </w:p>
        </w:tc>
        <w:tc>
          <w:tcPr>
            <w:tcW w:w="355" w:type="pct"/>
            <w:shd w:val="clear" w:color="auto" w:fill="EAF1DD" w:themeFill="accent3" w:themeFillTint="33"/>
            <w:vAlign w:val="center"/>
          </w:tcPr>
          <w:p w14:paraId="7A3AC702" w14:textId="4A265D12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NC</w:t>
            </w:r>
          </w:p>
        </w:tc>
        <w:tc>
          <w:tcPr>
            <w:tcW w:w="350" w:type="pct"/>
            <w:shd w:val="clear" w:color="auto" w:fill="EAF1DD" w:themeFill="accent3" w:themeFillTint="33"/>
            <w:vAlign w:val="center"/>
          </w:tcPr>
          <w:p w14:paraId="40C600C2" w14:textId="4AC60D5E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NA</w:t>
            </w:r>
          </w:p>
        </w:tc>
        <w:tc>
          <w:tcPr>
            <w:tcW w:w="1136" w:type="pct"/>
            <w:shd w:val="clear" w:color="auto" w:fill="EAF1DD" w:themeFill="accent3" w:themeFillTint="33"/>
            <w:noWrap/>
            <w:vAlign w:val="center"/>
            <w:hideMark/>
          </w:tcPr>
          <w:p w14:paraId="0717FBC1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OBSERVACIONES</w:t>
            </w:r>
          </w:p>
        </w:tc>
      </w:tr>
      <w:tr w:rsidR="0016669F" w:rsidRPr="0016669F" w14:paraId="407A0A87" w14:textId="77777777" w:rsidTr="00A15492">
        <w:trPr>
          <w:gridAfter w:val="1"/>
          <w:wAfter w:w="13" w:type="pct"/>
          <w:trHeight w:val="289"/>
        </w:trPr>
        <w:tc>
          <w:tcPr>
            <w:tcW w:w="4987" w:type="pct"/>
            <w:gridSpan w:val="13"/>
            <w:shd w:val="clear" w:color="auto" w:fill="EAF1DD" w:themeFill="accent3" w:themeFillTint="33"/>
            <w:noWrap/>
            <w:hideMark/>
          </w:tcPr>
          <w:p w14:paraId="0F7CC40E" w14:textId="6A95FD20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IDENTIFICACIÓN DEL RIESGO</w:t>
            </w:r>
          </w:p>
        </w:tc>
      </w:tr>
      <w:tr w:rsidR="0016669F" w:rsidRPr="0016669F" w14:paraId="21437FFE" w14:textId="77777777" w:rsidTr="00A15492">
        <w:trPr>
          <w:gridAfter w:val="1"/>
          <w:wAfter w:w="13" w:type="pct"/>
          <w:trHeight w:val="885"/>
        </w:trPr>
        <w:tc>
          <w:tcPr>
            <w:tcW w:w="342" w:type="pct"/>
            <w:shd w:val="clear" w:color="auto" w:fill="auto"/>
            <w:hideMark/>
          </w:tcPr>
          <w:p w14:paraId="24F2B4C9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0E0E5166" w14:textId="0A41CEE9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valora y Clasifica el riesgo de caídas de los pacientes que ingresan al servicio, aplicando la escala de riesgo (DAWNTON).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6556961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25B8985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35B8FCE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14C9EADB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50E4895F" w14:textId="77777777" w:rsidTr="00A15492">
        <w:trPr>
          <w:gridAfter w:val="1"/>
          <w:wAfter w:w="13" w:type="pct"/>
          <w:trHeight w:val="720"/>
        </w:trPr>
        <w:tc>
          <w:tcPr>
            <w:tcW w:w="342" w:type="pct"/>
            <w:shd w:val="clear" w:color="auto" w:fill="auto"/>
            <w:hideMark/>
          </w:tcPr>
          <w:p w14:paraId="35920219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2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3D675638" w14:textId="0C081562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Se realiza la revaloración de la escala de </w:t>
            </w:r>
            <w:proofErr w:type="gramStart"/>
            <w:r w:rsidRPr="0016669F">
              <w:rPr>
                <w:rFonts w:ascii="Arial Narrow" w:eastAsia="Times New Roman" w:hAnsi="Arial Narrow"/>
                <w:lang w:val="es-CO" w:eastAsia="es-CO"/>
              </w:rPr>
              <w:t>riesgo  (</w:t>
            </w:r>
            <w:proofErr w:type="gramEnd"/>
            <w:r w:rsidRPr="0016669F">
              <w:rPr>
                <w:rFonts w:ascii="Arial Narrow" w:eastAsia="Times New Roman" w:hAnsi="Arial Narrow"/>
                <w:lang w:val="es-CO" w:eastAsia="es-CO"/>
              </w:rPr>
              <w:t>DAWNTON)de acuerdo a la periodicidad definida.</w:t>
            </w:r>
            <w:r w:rsidR="00A00653">
              <w:rPr>
                <w:rFonts w:ascii="Arial Narrow" w:eastAsia="Times New Roman" w:hAnsi="Arial Narrow"/>
                <w:lang w:val="es-CO" w:eastAsia="es-CO"/>
              </w:rPr>
              <w:t xml:space="preserve"> Cuando aplique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406373B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425B175C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3B9C032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6B30F99A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06A70D32" w14:textId="77777777" w:rsidTr="00A15492">
        <w:trPr>
          <w:gridAfter w:val="1"/>
          <w:wAfter w:w="13" w:type="pct"/>
          <w:trHeight w:val="418"/>
        </w:trPr>
        <w:tc>
          <w:tcPr>
            <w:tcW w:w="342" w:type="pct"/>
            <w:shd w:val="clear" w:color="auto" w:fill="auto"/>
            <w:hideMark/>
          </w:tcPr>
          <w:p w14:paraId="6A76E83C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3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6EB8471F" w14:textId="53762041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Si hay riesgo de caída se identifica al paciente en la h</w:t>
            </w:r>
            <w:r w:rsidR="00A00653">
              <w:rPr>
                <w:rFonts w:ascii="Arial Narrow" w:eastAsia="Times New Roman" w:hAnsi="Arial Narrow"/>
                <w:lang w:val="es-CO" w:eastAsia="es-CO"/>
              </w:rPr>
              <w:t>istoria clínica.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2E8D5DBC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0051B75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59F22C8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3AA27D2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41909A7A" w14:textId="77777777" w:rsidTr="00A15492">
        <w:trPr>
          <w:gridAfter w:val="1"/>
          <w:wAfter w:w="13" w:type="pct"/>
          <w:trHeight w:val="680"/>
        </w:trPr>
        <w:tc>
          <w:tcPr>
            <w:tcW w:w="342" w:type="pct"/>
            <w:shd w:val="clear" w:color="auto" w:fill="auto"/>
            <w:hideMark/>
          </w:tcPr>
          <w:p w14:paraId="51B1DF1A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4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2FC8BB2B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realiza la apertura y documentación del plan de cuidados de enfermería que contemple las actividades según la clasificación.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42C1287A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073AB195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71BB4BC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39565F3E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340B78B3" w14:textId="77777777" w:rsidTr="00A15492">
        <w:trPr>
          <w:gridAfter w:val="1"/>
          <w:wAfter w:w="13" w:type="pct"/>
          <w:trHeight w:val="289"/>
        </w:trPr>
        <w:tc>
          <w:tcPr>
            <w:tcW w:w="4987" w:type="pct"/>
            <w:gridSpan w:val="13"/>
            <w:shd w:val="clear" w:color="auto" w:fill="EAF1DD" w:themeFill="accent3" w:themeFillTint="33"/>
            <w:hideMark/>
          </w:tcPr>
          <w:p w14:paraId="638302B3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ACCIONES REALIZADAS</w:t>
            </w:r>
          </w:p>
        </w:tc>
      </w:tr>
      <w:tr w:rsidR="0016669F" w:rsidRPr="0016669F" w14:paraId="6930E350" w14:textId="77777777" w:rsidTr="00A15492">
        <w:trPr>
          <w:gridAfter w:val="1"/>
          <w:wAfter w:w="13" w:type="pct"/>
          <w:trHeight w:val="752"/>
        </w:trPr>
        <w:tc>
          <w:tcPr>
            <w:tcW w:w="342" w:type="pct"/>
            <w:shd w:val="clear" w:color="auto" w:fill="auto"/>
            <w:hideMark/>
          </w:tcPr>
          <w:p w14:paraId="3722458B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5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38D2A92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instaura medidas específicas de seguridad a los pacientes, para la minimización de los riesgos según la condición del paciente.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04B03E3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784ED5C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036B6C4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4B2518B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4141ED84" w14:textId="77777777" w:rsidTr="00A15492">
        <w:trPr>
          <w:gridAfter w:val="1"/>
          <w:wAfter w:w="13" w:type="pct"/>
          <w:trHeight w:val="549"/>
        </w:trPr>
        <w:tc>
          <w:tcPr>
            <w:tcW w:w="342" w:type="pct"/>
            <w:shd w:val="clear" w:color="auto" w:fill="auto"/>
            <w:hideMark/>
          </w:tcPr>
          <w:p w14:paraId="138D69EE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6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33257839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proofErr w:type="gramStart"/>
            <w:r w:rsidRPr="0016669F">
              <w:rPr>
                <w:rFonts w:ascii="Arial Narrow" w:eastAsia="Times New Roman" w:hAnsi="Arial Narrow"/>
                <w:lang w:val="es-CO" w:eastAsia="es-CO"/>
              </w:rPr>
              <w:t>Se  realiza</w:t>
            </w:r>
            <w:proofErr w:type="gramEnd"/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 el  seguimiento  al  plan  de cuidados y aplican las medidas de seguridad en los procesos que potencialmente pueden generar riesgos de caídas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3F81F55A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77AE64F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78637D4A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1BCA76F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24E80BDA" w14:textId="77777777" w:rsidTr="00A15492">
        <w:trPr>
          <w:gridAfter w:val="1"/>
          <w:wAfter w:w="13" w:type="pct"/>
          <w:trHeight w:val="929"/>
        </w:trPr>
        <w:tc>
          <w:tcPr>
            <w:tcW w:w="342" w:type="pct"/>
            <w:shd w:val="clear" w:color="auto" w:fill="auto"/>
            <w:hideMark/>
          </w:tcPr>
          <w:p w14:paraId="1941C55C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7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0B3D1D30" w14:textId="7270CF89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  fomenta   el   auto   cuidado   de   los pacientes e involucra de manera activa con estrategias de comunicación y capacitación, tanto al paciente como a la familia</w:t>
            </w:r>
            <w:r w:rsidR="00A00653">
              <w:rPr>
                <w:rFonts w:ascii="Arial Narrow" w:eastAsia="Times New Roman" w:hAnsi="Arial Narrow"/>
                <w:lang w:val="es-CO" w:eastAsia="es-CO"/>
              </w:rPr>
              <w:t>,</w:t>
            </w:r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los cuidadores</w:t>
            </w:r>
            <w:r w:rsidR="00A00653">
              <w:rPr>
                <w:rFonts w:ascii="Arial Narrow" w:eastAsia="Times New Roman" w:hAnsi="Arial Narrow"/>
                <w:lang w:val="es-CO" w:eastAsia="es-CO"/>
              </w:rPr>
              <w:t xml:space="preserve"> y personal de la </w:t>
            </w:r>
            <w:proofErr w:type="spellStart"/>
            <w:r w:rsidR="00A00653">
              <w:rPr>
                <w:rFonts w:ascii="Arial Narrow" w:eastAsia="Times New Roman" w:hAnsi="Arial Narrow"/>
                <w:lang w:val="es-CO" w:eastAsia="es-CO"/>
              </w:rPr>
              <w:t>institucion</w:t>
            </w:r>
            <w:proofErr w:type="spellEnd"/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en cuanto al control y prevención de caídas.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429567D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78BDA62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1E9C1A76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65AFD0BF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25F67979" w14:textId="77777777" w:rsidTr="00A15492">
        <w:trPr>
          <w:gridAfter w:val="1"/>
          <w:wAfter w:w="13" w:type="pct"/>
          <w:trHeight w:val="902"/>
        </w:trPr>
        <w:tc>
          <w:tcPr>
            <w:tcW w:w="342" w:type="pct"/>
            <w:shd w:val="clear" w:color="auto" w:fill="auto"/>
            <w:hideMark/>
          </w:tcPr>
          <w:p w14:paraId="751B6336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8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36BA1796" w14:textId="1C8A9576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Se traslada a los pacientes cumpliendo las medidas      de      </w:t>
            </w:r>
            <w:proofErr w:type="gramStart"/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seguridad,   </w:t>
            </w:r>
            <w:proofErr w:type="gramEnd"/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  haciendo adherencia      a      los      p</w:t>
            </w:r>
            <w:r w:rsidR="00A00653">
              <w:rPr>
                <w:rFonts w:ascii="Arial Narrow" w:eastAsia="Times New Roman" w:hAnsi="Arial Narrow"/>
                <w:lang w:val="es-CO" w:eastAsia="es-CO"/>
              </w:rPr>
              <w:t>rotocolos</w:t>
            </w:r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documentados     sobre     transporte     de pacientes.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1C27B0D5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39B79EF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545A3D6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24F35451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174F5B5A" w14:textId="77777777" w:rsidTr="00A15492">
        <w:trPr>
          <w:gridAfter w:val="1"/>
          <w:wAfter w:w="13" w:type="pct"/>
          <w:trHeight w:val="590"/>
        </w:trPr>
        <w:tc>
          <w:tcPr>
            <w:tcW w:w="342" w:type="pct"/>
            <w:shd w:val="clear" w:color="auto" w:fill="auto"/>
            <w:hideMark/>
          </w:tcPr>
          <w:p w14:paraId="7B9EECD2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9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1AF03AA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  notifica   la   ocurrencia   de   eventos adversos (antes de 24 horas) relacionados con caídas institucionales.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0D064CEB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45C194B5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2E72CC9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051F280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2FF6E6FA" w14:textId="77777777" w:rsidTr="00A15492">
        <w:trPr>
          <w:gridAfter w:val="1"/>
          <w:wAfter w:w="13" w:type="pct"/>
          <w:trHeight w:val="839"/>
        </w:trPr>
        <w:tc>
          <w:tcPr>
            <w:tcW w:w="342" w:type="pct"/>
            <w:shd w:val="clear" w:color="auto" w:fill="auto"/>
            <w:hideMark/>
          </w:tcPr>
          <w:p w14:paraId="5A70581F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10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22F18198" w14:textId="3B0A7C36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Identifica, analiza factores contributivos,</w:t>
            </w:r>
            <w:r>
              <w:rPr>
                <w:rFonts w:ascii="Arial Narrow" w:eastAsia="Times New Roman" w:hAnsi="Arial Narrow"/>
                <w:lang w:val="es-CO" w:eastAsia="es-CO"/>
              </w:rPr>
              <w:t xml:space="preserve"> </w:t>
            </w:r>
            <w:r w:rsidRPr="0016669F">
              <w:rPr>
                <w:rFonts w:ascii="Arial Narrow" w:eastAsia="Times New Roman" w:hAnsi="Arial Narrow"/>
                <w:lang w:val="es-CO" w:eastAsia="es-CO"/>
              </w:rPr>
              <w:t>fallas en las barreras y defensas de seguridad para prevenir o mitigar las consecuencias.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2605600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37412AFB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5A1ABB7E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4E97C895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7F1289C5" w14:textId="77777777" w:rsidTr="00A15492">
        <w:trPr>
          <w:gridAfter w:val="1"/>
          <w:wAfter w:w="13" w:type="pct"/>
          <w:trHeight w:val="299"/>
        </w:trPr>
        <w:tc>
          <w:tcPr>
            <w:tcW w:w="4987" w:type="pct"/>
            <w:gridSpan w:val="13"/>
            <w:shd w:val="clear" w:color="auto" w:fill="EAF1DD" w:themeFill="accent3" w:themeFillTint="33"/>
            <w:hideMark/>
          </w:tcPr>
          <w:p w14:paraId="2E07DF69" w14:textId="77777777" w:rsidR="0016669F" w:rsidRPr="0016669F" w:rsidRDefault="0016669F" w:rsidP="00A15492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EVALUACIÓN DE FACTORES EXTRINSICOS</w:t>
            </w:r>
          </w:p>
        </w:tc>
      </w:tr>
      <w:tr w:rsidR="0016669F" w:rsidRPr="0016669F" w14:paraId="273D4200" w14:textId="77777777" w:rsidTr="00A15492">
        <w:trPr>
          <w:gridAfter w:val="1"/>
          <w:wAfter w:w="13" w:type="pct"/>
          <w:trHeight w:val="930"/>
        </w:trPr>
        <w:tc>
          <w:tcPr>
            <w:tcW w:w="342" w:type="pct"/>
            <w:shd w:val="clear" w:color="auto" w:fill="auto"/>
            <w:hideMark/>
          </w:tcPr>
          <w:p w14:paraId="053C477A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11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748EBF0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evita la presencia de objetos desordenados en la superficie del suelo del servicio (mobiliario en su sitio, cableado, alargaderas, etc.)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23425F3C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444C3A91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3B6FA83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459604A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3330F0AC" w14:textId="77777777" w:rsidTr="00A15492">
        <w:trPr>
          <w:gridAfter w:val="1"/>
          <w:wAfter w:w="13" w:type="pct"/>
          <w:trHeight w:val="750"/>
        </w:trPr>
        <w:tc>
          <w:tcPr>
            <w:tcW w:w="342" w:type="pct"/>
            <w:shd w:val="clear" w:color="auto" w:fill="auto"/>
            <w:hideMark/>
          </w:tcPr>
          <w:p w14:paraId="7419D0D7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12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1D6DB5F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Se mantienen el mobiliario siempre en buen </w:t>
            </w:r>
            <w:proofErr w:type="gramStart"/>
            <w:r w:rsidRPr="0016669F">
              <w:rPr>
                <w:rFonts w:ascii="Arial Narrow" w:eastAsia="Times New Roman" w:hAnsi="Arial Narrow"/>
                <w:lang w:val="es-CO" w:eastAsia="es-CO"/>
              </w:rPr>
              <w:t>estado  (</w:t>
            </w:r>
            <w:proofErr w:type="gramEnd"/>
            <w:r w:rsidRPr="0016669F">
              <w:rPr>
                <w:rFonts w:ascii="Arial Narrow" w:eastAsia="Times New Roman" w:hAnsi="Arial Narrow"/>
                <w:lang w:val="es-CO" w:eastAsia="es-CO"/>
              </w:rPr>
              <w:t>camillas,  sillas,  mesas,  escalerillas, etc.)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14EA1035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727C8E6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2F70EF3F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1A972346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1BEF822E" w14:textId="77777777" w:rsidTr="00A15492">
        <w:trPr>
          <w:gridAfter w:val="1"/>
          <w:wAfter w:w="13" w:type="pct"/>
          <w:trHeight w:val="645"/>
        </w:trPr>
        <w:tc>
          <w:tcPr>
            <w:tcW w:w="342" w:type="pct"/>
            <w:shd w:val="clear" w:color="auto" w:fill="auto"/>
            <w:hideMark/>
          </w:tcPr>
          <w:p w14:paraId="778DD1D2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13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16B74F3E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  mantiene   una   luz      del   área</w:t>
            </w:r>
            <w:proofErr w:type="gramStart"/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  (</w:t>
            </w:r>
            <w:proofErr w:type="gramEnd"/>
            <w:r w:rsidRPr="0016669F">
              <w:rPr>
                <w:rFonts w:ascii="Arial Narrow" w:eastAsia="Times New Roman" w:hAnsi="Arial Narrow"/>
                <w:lang w:val="es-CO" w:eastAsia="es-CO"/>
              </w:rPr>
              <w:t>baño, habitación, sala, cubículo) encendido.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1167AB0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5118290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26EA6E9F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0AA2A06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474CFEF8" w14:textId="77777777" w:rsidTr="00A15492">
        <w:trPr>
          <w:gridAfter w:val="1"/>
          <w:wAfter w:w="13" w:type="pct"/>
          <w:trHeight w:val="615"/>
        </w:trPr>
        <w:tc>
          <w:tcPr>
            <w:tcW w:w="342" w:type="pct"/>
            <w:shd w:val="clear" w:color="auto" w:fill="auto"/>
            <w:hideMark/>
          </w:tcPr>
          <w:p w14:paraId="4E61E97D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14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1D4744E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dispone de una iluminación adecuada para aumentar la visibilidad en todos los servicios, áreas de la institución.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522AA88F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49914599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6527DBA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4522135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5470FC85" w14:textId="77777777" w:rsidTr="00A15492">
        <w:trPr>
          <w:gridAfter w:val="1"/>
          <w:wAfter w:w="13" w:type="pct"/>
          <w:trHeight w:val="690"/>
        </w:trPr>
        <w:tc>
          <w:tcPr>
            <w:tcW w:w="342" w:type="pct"/>
            <w:shd w:val="clear" w:color="auto" w:fill="auto"/>
            <w:hideMark/>
          </w:tcPr>
          <w:p w14:paraId="6FDE4E6D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15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3E739FB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señaliza con aviso cuando se esté haciendo limpieza de pisos.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74C3DE1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192CF12E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6C2D21E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1A79F9C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67A6320A" w14:textId="77777777" w:rsidTr="00A15492">
        <w:trPr>
          <w:gridAfter w:val="1"/>
          <w:wAfter w:w="13" w:type="pct"/>
          <w:trHeight w:val="615"/>
        </w:trPr>
        <w:tc>
          <w:tcPr>
            <w:tcW w:w="342" w:type="pct"/>
            <w:shd w:val="clear" w:color="auto" w:fill="auto"/>
            <w:hideMark/>
          </w:tcPr>
          <w:p w14:paraId="0D946C5C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lastRenderedPageBreak/>
              <w:t>16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120DCA6F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proofErr w:type="gramStart"/>
            <w:r w:rsidRPr="0016669F">
              <w:rPr>
                <w:rFonts w:ascii="Arial Narrow" w:eastAsia="Times New Roman" w:hAnsi="Arial Narrow"/>
                <w:lang w:val="es-CO" w:eastAsia="es-CO"/>
              </w:rPr>
              <w:t>Los  pasamanos</w:t>
            </w:r>
            <w:proofErr w:type="gramEnd"/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 se  encuentran  en  buenas condiciones y con barandas.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361BC2F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621351E0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1A38D78B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11B1A8D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3CB15E32" w14:textId="77777777" w:rsidTr="00A15492">
        <w:trPr>
          <w:gridAfter w:val="1"/>
          <w:wAfter w:w="13" w:type="pct"/>
          <w:trHeight w:val="405"/>
        </w:trPr>
        <w:tc>
          <w:tcPr>
            <w:tcW w:w="342" w:type="pct"/>
            <w:shd w:val="clear" w:color="auto" w:fill="auto"/>
            <w:hideMark/>
          </w:tcPr>
          <w:p w14:paraId="6DDA9AD9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17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76736247" w14:textId="5F4E220A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Los pisos se encuentran en buen estado</w:t>
            </w:r>
            <w:r w:rsidR="00A00653">
              <w:rPr>
                <w:rFonts w:ascii="Arial Narrow" w:eastAsia="Times New Roman" w:hAnsi="Arial Narrow"/>
                <w:lang w:val="es-CO" w:eastAsia="es-CO"/>
              </w:rPr>
              <w:t>, tienen rampas con material antideslizante.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438E29EA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3FEAD40B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2ED5824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4FF31D21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1F92ACED" w14:textId="77777777" w:rsidTr="00A15492">
        <w:trPr>
          <w:gridAfter w:val="1"/>
          <w:wAfter w:w="13" w:type="pct"/>
          <w:trHeight w:val="405"/>
        </w:trPr>
        <w:tc>
          <w:tcPr>
            <w:tcW w:w="342" w:type="pct"/>
            <w:shd w:val="clear" w:color="auto" w:fill="auto"/>
            <w:hideMark/>
          </w:tcPr>
          <w:p w14:paraId="7B776A85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18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2F3E5FA9" w14:textId="3CD0C120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Se evidencia desorden en las áreas</w:t>
            </w:r>
            <w:r w:rsidR="00A00653">
              <w:rPr>
                <w:rFonts w:ascii="Arial Narrow" w:eastAsia="Times New Roman" w:hAnsi="Arial Narrow"/>
                <w:lang w:val="es-CO" w:eastAsia="es-CO"/>
              </w:rPr>
              <w:t xml:space="preserve"> y en general en la </w:t>
            </w:r>
            <w:proofErr w:type="spellStart"/>
            <w:r w:rsidR="00A00653">
              <w:rPr>
                <w:rFonts w:ascii="Arial Narrow" w:eastAsia="Times New Roman" w:hAnsi="Arial Narrow"/>
                <w:lang w:val="es-CO" w:eastAsia="es-CO"/>
              </w:rPr>
              <w:t>institucion</w:t>
            </w:r>
            <w:proofErr w:type="spellEnd"/>
            <w:r w:rsidRPr="0016669F">
              <w:rPr>
                <w:rFonts w:ascii="Arial Narrow" w:eastAsia="Times New Roman" w:hAnsi="Arial Narrow"/>
                <w:lang w:val="es-CO" w:eastAsia="es-CO"/>
              </w:rPr>
              <w:t>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06E8AD3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274AC4A5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7A66AC5A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4FEF04A9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28464B55" w14:textId="77777777" w:rsidTr="00A15492">
        <w:trPr>
          <w:gridAfter w:val="1"/>
          <w:wAfter w:w="13" w:type="pct"/>
          <w:trHeight w:val="945"/>
        </w:trPr>
        <w:tc>
          <w:tcPr>
            <w:tcW w:w="342" w:type="pct"/>
            <w:shd w:val="clear" w:color="auto" w:fill="auto"/>
            <w:hideMark/>
          </w:tcPr>
          <w:p w14:paraId="5900B84B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19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0BAAF7EE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proofErr w:type="gramStart"/>
            <w:r w:rsidRPr="0016669F">
              <w:rPr>
                <w:rFonts w:ascii="Arial Narrow" w:eastAsia="Times New Roman" w:hAnsi="Arial Narrow"/>
                <w:lang w:val="es-CO" w:eastAsia="es-CO"/>
              </w:rPr>
              <w:t>Se  evidencia</w:t>
            </w:r>
            <w:proofErr w:type="gramEnd"/>
            <w:r w:rsidRPr="0016669F">
              <w:rPr>
                <w:rFonts w:ascii="Arial Narrow" w:eastAsia="Times New Roman" w:hAnsi="Arial Narrow"/>
                <w:lang w:val="es-CO" w:eastAsia="es-CO"/>
              </w:rPr>
              <w:t xml:space="preserve">  paredes,  muros,  en  deficiente estado o sobresaliente que puedan poner en riesgo de caídas al paciente.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38F6216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556C523F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379C0EF5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78F69F32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16669F" w:rsidRPr="0016669F" w14:paraId="1576DB30" w14:textId="77777777" w:rsidTr="00A15492">
        <w:trPr>
          <w:gridAfter w:val="1"/>
          <w:wAfter w:w="13" w:type="pct"/>
          <w:trHeight w:val="450"/>
        </w:trPr>
        <w:tc>
          <w:tcPr>
            <w:tcW w:w="342" w:type="pct"/>
            <w:shd w:val="clear" w:color="auto" w:fill="auto"/>
            <w:hideMark/>
          </w:tcPr>
          <w:p w14:paraId="2BC4D39F" w14:textId="77777777" w:rsidR="0016669F" w:rsidRPr="0016669F" w:rsidRDefault="0016669F" w:rsidP="00E66813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lang w:val="es-CO" w:eastAsia="es-CO"/>
              </w:rPr>
              <w:t>20</w:t>
            </w:r>
          </w:p>
        </w:tc>
        <w:tc>
          <w:tcPr>
            <w:tcW w:w="2454" w:type="pct"/>
            <w:gridSpan w:val="7"/>
            <w:shd w:val="clear" w:color="auto" w:fill="auto"/>
            <w:hideMark/>
          </w:tcPr>
          <w:p w14:paraId="38F7492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Las rampas tienen antideslizantes en toda la extensión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01BD9D6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624C6284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14:paraId="276C4397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14:paraId="7F69B5F8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lang w:val="es-CO" w:eastAsia="es-CO"/>
              </w:rPr>
              <w:t> </w:t>
            </w:r>
          </w:p>
        </w:tc>
      </w:tr>
      <w:tr w:rsidR="00E66813" w:rsidRPr="0016669F" w14:paraId="53AC6175" w14:textId="77777777" w:rsidTr="00A15492">
        <w:trPr>
          <w:gridAfter w:val="1"/>
          <w:wAfter w:w="13" w:type="pct"/>
          <w:trHeight w:val="465"/>
        </w:trPr>
        <w:tc>
          <w:tcPr>
            <w:tcW w:w="2796" w:type="pct"/>
            <w:gridSpan w:val="8"/>
            <w:shd w:val="clear" w:color="auto" w:fill="EAF1DD" w:themeFill="accent3" w:themeFillTint="33"/>
            <w:noWrap/>
            <w:hideMark/>
          </w:tcPr>
          <w:p w14:paraId="0BC39017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  <w:t>TOTALES</w:t>
            </w:r>
          </w:p>
        </w:tc>
        <w:tc>
          <w:tcPr>
            <w:tcW w:w="349" w:type="pct"/>
            <w:gridSpan w:val="2"/>
            <w:shd w:val="clear" w:color="auto" w:fill="auto"/>
            <w:noWrap/>
            <w:hideMark/>
          </w:tcPr>
          <w:p w14:paraId="687B790D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14:paraId="63DFD87D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D811B6A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14:paraId="7D05697A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16669F" w14:paraId="051C725B" w14:textId="77777777" w:rsidTr="00A15492">
        <w:trPr>
          <w:gridAfter w:val="1"/>
          <w:wAfter w:w="13" w:type="pct"/>
          <w:trHeight w:val="450"/>
        </w:trPr>
        <w:tc>
          <w:tcPr>
            <w:tcW w:w="893" w:type="pct"/>
            <w:gridSpan w:val="3"/>
            <w:shd w:val="clear" w:color="auto" w:fill="EAF1DD" w:themeFill="accent3" w:themeFillTint="33"/>
            <w:noWrap/>
            <w:hideMark/>
          </w:tcPr>
          <w:p w14:paraId="1723B453" w14:textId="77777777" w:rsidR="0016669F" w:rsidRPr="0016669F" w:rsidRDefault="0016669F" w:rsidP="0016669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  <w:t>% CUMPLIMIENTO</w:t>
            </w:r>
          </w:p>
        </w:tc>
        <w:tc>
          <w:tcPr>
            <w:tcW w:w="4094" w:type="pct"/>
            <w:gridSpan w:val="10"/>
            <w:shd w:val="clear" w:color="auto" w:fill="auto"/>
            <w:noWrap/>
            <w:hideMark/>
          </w:tcPr>
          <w:p w14:paraId="4FC9A06E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16669F" w14:paraId="70715CDC" w14:textId="77777777" w:rsidTr="00A15492">
        <w:trPr>
          <w:gridAfter w:val="1"/>
          <w:wAfter w:w="13" w:type="pct"/>
          <w:trHeight w:val="293"/>
        </w:trPr>
        <w:tc>
          <w:tcPr>
            <w:tcW w:w="4987" w:type="pct"/>
            <w:gridSpan w:val="13"/>
            <w:shd w:val="clear" w:color="auto" w:fill="auto"/>
            <w:noWrap/>
            <w:hideMark/>
          </w:tcPr>
          <w:p w14:paraId="2F5BD118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16669F" w14:paraId="37F9798C" w14:textId="77777777" w:rsidTr="00A15492">
        <w:trPr>
          <w:gridAfter w:val="1"/>
          <w:wAfter w:w="13" w:type="pct"/>
          <w:trHeight w:val="390"/>
        </w:trPr>
        <w:tc>
          <w:tcPr>
            <w:tcW w:w="1567" w:type="pct"/>
            <w:gridSpan w:val="5"/>
            <w:shd w:val="clear" w:color="auto" w:fill="EAF1DD" w:themeFill="accent3" w:themeFillTint="33"/>
            <w:noWrap/>
            <w:vAlign w:val="center"/>
            <w:hideMark/>
          </w:tcPr>
          <w:p w14:paraId="40D259B8" w14:textId="49B91C0F" w:rsidR="0016669F" w:rsidRPr="0016669F" w:rsidRDefault="00A15492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EVALUADOR</w:t>
            </w:r>
          </w:p>
        </w:tc>
        <w:tc>
          <w:tcPr>
            <w:tcW w:w="1229" w:type="pct"/>
            <w:gridSpan w:val="3"/>
            <w:shd w:val="clear" w:color="auto" w:fill="EAF1DD" w:themeFill="accent3" w:themeFillTint="33"/>
            <w:noWrap/>
            <w:vAlign w:val="center"/>
            <w:hideMark/>
          </w:tcPr>
          <w:p w14:paraId="60C8B4F1" w14:textId="08339B17" w:rsidR="0016669F" w:rsidRPr="0016669F" w:rsidRDefault="00A15492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CARGO</w:t>
            </w:r>
          </w:p>
        </w:tc>
        <w:tc>
          <w:tcPr>
            <w:tcW w:w="1054" w:type="pct"/>
            <w:gridSpan w:val="4"/>
            <w:shd w:val="clear" w:color="auto" w:fill="EAF1DD" w:themeFill="accent3" w:themeFillTint="33"/>
            <w:noWrap/>
            <w:vAlign w:val="center"/>
          </w:tcPr>
          <w:p w14:paraId="0ED27E3C" w14:textId="68883C7B" w:rsidR="0016669F" w:rsidRPr="0016669F" w:rsidRDefault="00A15492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EVALUADO</w:t>
            </w:r>
          </w:p>
        </w:tc>
        <w:tc>
          <w:tcPr>
            <w:tcW w:w="1136" w:type="pct"/>
            <w:shd w:val="clear" w:color="auto" w:fill="EAF1DD" w:themeFill="accent3" w:themeFillTint="33"/>
            <w:noWrap/>
            <w:vAlign w:val="center"/>
          </w:tcPr>
          <w:p w14:paraId="3C4180DD" w14:textId="32153CD2" w:rsidR="0016669F" w:rsidRPr="0016669F" w:rsidRDefault="00A15492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s-CO" w:eastAsia="es-CO"/>
              </w:rPr>
              <w:t>CARGO</w:t>
            </w:r>
          </w:p>
        </w:tc>
      </w:tr>
      <w:tr w:rsidR="0016669F" w:rsidRPr="0016669F" w14:paraId="08DEA1DB" w14:textId="77777777" w:rsidTr="00A15492">
        <w:trPr>
          <w:gridAfter w:val="1"/>
          <w:wAfter w:w="13" w:type="pct"/>
          <w:trHeight w:val="435"/>
        </w:trPr>
        <w:tc>
          <w:tcPr>
            <w:tcW w:w="1567" w:type="pct"/>
            <w:gridSpan w:val="5"/>
            <w:shd w:val="clear" w:color="auto" w:fill="auto"/>
            <w:noWrap/>
            <w:vAlign w:val="bottom"/>
            <w:hideMark/>
          </w:tcPr>
          <w:p w14:paraId="78B8D2D6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29" w:type="pct"/>
            <w:gridSpan w:val="3"/>
            <w:shd w:val="clear" w:color="auto" w:fill="auto"/>
            <w:noWrap/>
            <w:vAlign w:val="bottom"/>
            <w:hideMark/>
          </w:tcPr>
          <w:p w14:paraId="657D59EB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54" w:type="pct"/>
            <w:gridSpan w:val="4"/>
            <w:shd w:val="clear" w:color="auto" w:fill="auto"/>
            <w:noWrap/>
            <w:vAlign w:val="bottom"/>
            <w:hideMark/>
          </w:tcPr>
          <w:p w14:paraId="14EF8815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6" w:type="pct"/>
            <w:shd w:val="clear" w:color="auto" w:fill="auto"/>
            <w:noWrap/>
            <w:vAlign w:val="bottom"/>
            <w:hideMark/>
          </w:tcPr>
          <w:p w14:paraId="44443CD5" w14:textId="77777777" w:rsidR="0016669F" w:rsidRPr="0016669F" w:rsidRDefault="0016669F" w:rsidP="0016669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</w:pPr>
            <w:r w:rsidRPr="0016669F">
              <w:rPr>
                <w:rFonts w:ascii="Arial Narrow" w:eastAsia="Times New Roman" w:hAnsi="Arial Narrow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06B6787A" w14:textId="77777777" w:rsidR="003B7E32" w:rsidRPr="0016669F" w:rsidRDefault="003B7E32" w:rsidP="0016669F"/>
    <w:sectPr w:rsidR="003B7E32" w:rsidRPr="0016669F" w:rsidSect="009149BD">
      <w:headerReference w:type="default" r:id="rId7"/>
      <w:pgSz w:w="11910" w:h="16840"/>
      <w:pgMar w:top="62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E660" w14:textId="77777777" w:rsidR="003016EB" w:rsidRDefault="003016EB" w:rsidP="00B92323">
      <w:r>
        <w:separator/>
      </w:r>
    </w:p>
  </w:endnote>
  <w:endnote w:type="continuationSeparator" w:id="0">
    <w:p w14:paraId="4475D4F9" w14:textId="77777777" w:rsidR="003016EB" w:rsidRDefault="003016EB" w:rsidP="00B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FBFB" w14:textId="77777777" w:rsidR="003016EB" w:rsidRDefault="003016EB" w:rsidP="00B92323">
      <w:r>
        <w:separator/>
      </w:r>
    </w:p>
  </w:footnote>
  <w:footnote w:type="continuationSeparator" w:id="0">
    <w:p w14:paraId="3C5FFCBB" w14:textId="77777777" w:rsidR="003016EB" w:rsidRDefault="003016EB" w:rsidP="00B9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6880"/>
      <w:gridCol w:w="851"/>
      <w:gridCol w:w="1417"/>
    </w:tblGrid>
    <w:tr w:rsidR="00715CC7" w14:paraId="7D2BA3DD" w14:textId="77777777" w:rsidTr="00715CC7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1DB8774" w14:textId="77777777" w:rsidR="00715CC7" w:rsidRDefault="00715CC7" w:rsidP="00715CC7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65F0571" wp14:editId="3660B3D1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DE84602" w14:textId="388C6AF1" w:rsidR="00715CC7" w:rsidRDefault="00715CC7" w:rsidP="00715CC7">
          <w:pPr>
            <w:jc w:val="center"/>
            <w:rPr>
              <w:b/>
            </w:rPr>
          </w:pPr>
          <w:r>
            <w:rPr>
              <w:b/>
            </w:rPr>
            <w:t>Lista de Chequeo de Prevención Caídas de Pacientes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2D27E89" w14:textId="77777777" w:rsidR="00715CC7" w:rsidRDefault="00715CC7" w:rsidP="00715CC7">
          <w:pPr>
            <w:pStyle w:val="Encabezado"/>
            <w:rPr>
              <w:b/>
            </w:rPr>
          </w:pPr>
          <w:r>
            <w:rPr>
              <w:b/>
            </w:rPr>
            <w:t xml:space="preserve">Código 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4D365F" w14:textId="7592199E" w:rsidR="00715CC7" w:rsidRPr="00074873" w:rsidRDefault="00715CC7" w:rsidP="00715CC7">
          <w:pPr>
            <w:jc w:val="center"/>
            <w:rPr>
              <w:bCs/>
              <w:color w:val="FF0000"/>
            </w:rPr>
          </w:pPr>
          <w:r>
            <w:rPr>
              <w:bCs/>
            </w:rPr>
            <w:t>F</w:t>
          </w:r>
          <w:r w:rsidRPr="00074873">
            <w:rPr>
              <w:bCs/>
            </w:rPr>
            <w:t>BU-</w:t>
          </w:r>
          <w:r>
            <w:rPr>
              <w:bCs/>
            </w:rPr>
            <w:t>90</w:t>
          </w:r>
          <w:r w:rsidRPr="00074873">
            <w:rPr>
              <w:bCs/>
            </w:rPr>
            <w:t xml:space="preserve"> v.00</w:t>
          </w:r>
        </w:p>
      </w:tc>
    </w:tr>
    <w:tr w:rsidR="00715CC7" w14:paraId="152CE522" w14:textId="77777777" w:rsidTr="00715CC7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E3A4ED2" w14:textId="77777777" w:rsidR="00715CC7" w:rsidRDefault="00715CC7" w:rsidP="00715CC7"/>
      </w:tc>
      <w:tc>
        <w:tcPr>
          <w:tcW w:w="68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DEE99BD" w14:textId="77777777" w:rsidR="00715CC7" w:rsidRDefault="00715CC7" w:rsidP="00715CC7"/>
      </w:tc>
      <w:tc>
        <w:tcPr>
          <w:tcW w:w="851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58CE47D" w14:textId="77777777" w:rsidR="00715CC7" w:rsidRDefault="00715CC7" w:rsidP="00715CC7">
          <w:pPr>
            <w:snapToGrid w:val="0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2680ED" w14:textId="77777777" w:rsidR="00715CC7" w:rsidRDefault="00715CC7" w:rsidP="00715CC7">
          <w:pPr>
            <w:snapToGrid w:val="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2AC0736E" w14:textId="77777777" w:rsidR="002A07D2" w:rsidRDefault="002A0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446C"/>
    <w:multiLevelType w:val="hybridMultilevel"/>
    <w:tmpl w:val="34EE1A50"/>
    <w:lvl w:ilvl="0" w:tplc="F03CBC14">
      <w:numFmt w:val="bullet"/>
      <w:lvlText w:val=""/>
      <w:lvlJc w:val="left"/>
      <w:pPr>
        <w:ind w:left="877" w:hanging="361"/>
      </w:pPr>
      <w:rPr>
        <w:rFonts w:hint="default"/>
        <w:w w:val="99"/>
        <w:lang w:val="es-ES" w:eastAsia="en-US" w:bidi="ar-SA"/>
      </w:rPr>
    </w:lvl>
    <w:lvl w:ilvl="1" w:tplc="C792C016">
      <w:numFmt w:val="bullet"/>
      <w:lvlText w:val="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4EE70B0">
      <w:numFmt w:val="bullet"/>
      <w:lvlText w:val="•"/>
      <w:lvlJc w:val="left"/>
      <w:pPr>
        <w:ind w:left="2253" w:hanging="361"/>
      </w:pPr>
      <w:rPr>
        <w:rFonts w:hint="default"/>
        <w:lang w:val="es-ES" w:eastAsia="en-US" w:bidi="ar-SA"/>
      </w:rPr>
    </w:lvl>
    <w:lvl w:ilvl="3" w:tplc="9658438C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4" w:tplc="AB2EB13C">
      <w:numFmt w:val="bullet"/>
      <w:lvlText w:val="•"/>
      <w:lvlJc w:val="left"/>
      <w:pPr>
        <w:ind w:left="4281" w:hanging="361"/>
      </w:pPr>
      <w:rPr>
        <w:rFonts w:hint="default"/>
        <w:lang w:val="es-ES" w:eastAsia="en-US" w:bidi="ar-SA"/>
      </w:rPr>
    </w:lvl>
    <w:lvl w:ilvl="5" w:tplc="EB7C9F30">
      <w:numFmt w:val="bullet"/>
      <w:lvlText w:val="•"/>
      <w:lvlJc w:val="left"/>
      <w:pPr>
        <w:ind w:left="5295" w:hanging="361"/>
      </w:pPr>
      <w:rPr>
        <w:rFonts w:hint="default"/>
        <w:lang w:val="es-ES" w:eastAsia="en-US" w:bidi="ar-SA"/>
      </w:rPr>
    </w:lvl>
    <w:lvl w:ilvl="6" w:tplc="88941798">
      <w:numFmt w:val="bullet"/>
      <w:lvlText w:val="•"/>
      <w:lvlJc w:val="left"/>
      <w:pPr>
        <w:ind w:left="6309" w:hanging="361"/>
      </w:pPr>
      <w:rPr>
        <w:rFonts w:hint="default"/>
        <w:lang w:val="es-ES" w:eastAsia="en-US" w:bidi="ar-SA"/>
      </w:rPr>
    </w:lvl>
    <w:lvl w:ilvl="7" w:tplc="86A25AC6">
      <w:numFmt w:val="bullet"/>
      <w:lvlText w:val="•"/>
      <w:lvlJc w:val="left"/>
      <w:pPr>
        <w:ind w:left="7322" w:hanging="361"/>
      </w:pPr>
      <w:rPr>
        <w:rFonts w:hint="default"/>
        <w:lang w:val="es-ES" w:eastAsia="en-US" w:bidi="ar-SA"/>
      </w:rPr>
    </w:lvl>
    <w:lvl w:ilvl="8" w:tplc="E766F3DC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5E67D8E"/>
    <w:multiLevelType w:val="hybridMultilevel"/>
    <w:tmpl w:val="1AD0F56C"/>
    <w:lvl w:ilvl="0" w:tplc="BE30E91A">
      <w:numFmt w:val="bullet"/>
      <w:lvlText w:val=""/>
      <w:lvlJc w:val="left"/>
      <w:pPr>
        <w:ind w:left="759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1" w:tplc="3E78FFAA">
      <w:numFmt w:val="bullet"/>
      <w:lvlText w:val=""/>
      <w:lvlJc w:val="left"/>
      <w:pPr>
        <w:ind w:left="1119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7FEE672">
      <w:numFmt w:val="bullet"/>
      <w:lvlText w:val="•"/>
      <w:lvlJc w:val="left"/>
      <w:pPr>
        <w:ind w:left="2147" w:hanging="361"/>
      </w:pPr>
      <w:rPr>
        <w:rFonts w:hint="default"/>
        <w:lang w:val="es-ES" w:eastAsia="en-US" w:bidi="ar-SA"/>
      </w:rPr>
    </w:lvl>
    <w:lvl w:ilvl="3" w:tplc="4AD09FCE">
      <w:numFmt w:val="bullet"/>
      <w:lvlText w:val="•"/>
      <w:lvlJc w:val="left"/>
      <w:pPr>
        <w:ind w:left="3174" w:hanging="361"/>
      </w:pPr>
      <w:rPr>
        <w:rFonts w:hint="default"/>
        <w:lang w:val="es-ES" w:eastAsia="en-US" w:bidi="ar-SA"/>
      </w:rPr>
    </w:lvl>
    <w:lvl w:ilvl="4" w:tplc="3A402D06">
      <w:numFmt w:val="bullet"/>
      <w:lvlText w:val="•"/>
      <w:lvlJc w:val="left"/>
      <w:pPr>
        <w:ind w:left="4201" w:hanging="361"/>
      </w:pPr>
      <w:rPr>
        <w:rFonts w:hint="default"/>
        <w:lang w:val="es-ES" w:eastAsia="en-US" w:bidi="ar-SA"/>
      </w:rPr>
    </w:lvl>
    <w:lvl w:ilvl="5" w:tplc="A0A8F964">
      <w:numFmt w:val="bullet"/>
      <w:lvlText w:val="•"/>
      <w:lvlJc w:val="left"/>
      <w:pPr>
        <w:ind w:left="5228" w:hanging="361"/>
      </w:pPr>
      <w:rPr>
        <w:rFonts w:hint="default"/>
        <w:lang w:val="es-ES" w:eastAsia="en-US" w:bidi="ar-SA"/>
      </w:rPr>
    </w:lvl>
    <w:lvl w:ilvl="6" w:tplc="224AF078">
      <w:numFmt w:val="bullet"/>
      <w:lvlText w:val="•"/>
      <w:lvlJc w:val="left"/>
      <w:pPr>
        <w:ind w:left="6255" w:hanging="361"/>
      </w:pPr>
      <w:rPr>
        <w:rFonts w:hint="default"/>
        <w:lang w:val="es-ES" w:eastAsia="en-US" w:bidi="ar-SA"/>
      </w:rPr>
    </w:lvl>
    <w:lvl w:ilvl="7" w:tplc="B4C69532">
      <w:numFmt w:val="bullet"/>
      <w:lvlText w:val="•"/>
      <w:lvlJc w:val="left"/>
      <w:pPr>
        <w:ind w:left="7282" w:hanging="361"/>
      </w:pPr>
      <w:rPr>
        <w:rFonts w:hint="default"/>
        <w:lang w:val="es-ES" w:eastAsia="en-US" w:bidi="ar-SA"/>
      </w:rPr>
    </w:lvl>
    <w:lvl w:ilvl="8" w:tplc="331E61AC">
      <w:numFmt w:val="bullet"/>
      <w:lvlText w:val="•"/>
      <w:lvlJc w:val="left"/>
      <w:pPr>
        <w:ind w:left="831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70F11E27"/>
    <w:multiLevelType w:val="hybridMultilevel"/>
    <w:tmpl w:val="E6FC0EC2"/>
    <w:lvl w:ilvl="0" w:tplc="AD820510">
      <w:numFmt w:val="bullet"/>
      <w:lvlText w:val="•"/>
      <w:lvlJc w:val="left"/>
      <w:pPr>
        <w:ind w:left="859" w:hanging="342"/>
      </w:pPr>
      <w:rPr>
        <w:rFonts w:ascii="Times New Roman" w:eastAsia="Times New Roman" w:hAnsi="Times New Roman" w:cs="Times New Roman" w:hint="default"/>
        <w:w w:val="127"/>
        <w:sz w:val="22"/>
        <w:szCs w:val="22"/>
        <w:lang w:val="es-ES" w:eastAsia="en-US" w:bidi="ar-SA"/>
      </w:rPr>
    </w:lvl>
    <w:lvl w:ilvl="1" w:tplc="76365CFC">
      <w:numFmt w:val="bullet"/>
      <w:lvlText w:val="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AEA2978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3" w:tplc="3CFABDDA">
      <w:numFmt w:val="bullet"/>
      <w:lvlText w:val="•"/>
      <w:lvlJc w:val="left"/>
      <w:pPr>
        <w:ind w:left="2590" w:hanging="361"/>
      </w:pPr>
      <w:rPr>
        <w:rFonts w:hint="default"/>
        <w:lang w:val="es-ES" w:eastAsia="en-US" w:bidi="ar-SA"/>
      </w:rPr>
    </w:lvl>
    <w:lvl w:ilvl="4" w:tplc="01FC7A38">
      <w:numFmt w:val="bullet"/>
      <w:lvlText w:val="•"/>
      <w:lvlJc w:val="left"/>
      <w:pPr>
        <w:ind w:left="3701" w:hanging="361"/>
      </w:pPr>
      <w:rPr>
        <w:rFonts w:hint="default"/>
        <w:lang w:val="es-ES" w:eastAsia="en-US" w:bidi="ar-SA"/>
      </w:rPr>
    </w:lvl>
    <w:lvl w:ilvl="5" w:tplc="47B0A286">
      <w:numFmt w:val="bullet"/>
      <w:lvlText w:val="•"/>
      <w:lvlJc w:val="left"/>
      <w:pPr>
        <w:ind w:left="4811" w:hanging="361"/>
      </w:pPr>
      <w:rPr>
        <w:rFonts w:hint="default"/>
        <w:lang w:val="es-ES" w:eastAsia="en-US" w:bidi="ar-SA"/>
      </w:rPr>
    </w:lvl>
    <w:lvl w:ilvl="6" w:tplc="576E77B2">
      <w:numFmt w:val="bullet"/>
      <w:lvlText w:val="•"/>
      <w:lvlJc w:val="left"/>
      <w:pPr>
        <w:ind w:left="5922" w:hanging="361"/>
      </w:pPr>
      <w:rPr>
        <w:rFonts w:hint="default"/>
        <w:lang w:val="es-ES" w:eastAsia="en-US" w:bidi="ar-SA"/>
      </w:rPr>
    </w:lvl>
    <w:lvl w:ilvl="7" w:tplc="4620C212"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  <w:lvl w:ilvl="8" w:tplc="D724F96A">
      <w:numFmt w:val="bullet"/>
      <w:lvlText w:val="•"/>
      <w:lvlJc w:val="left"/>
      <w:pPr>
        <w:ind w:left="8143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CA"/>
    <w:rsid w:val="0005450E"/>
    <w:rsid w:val="00161514"/>
    <w:rsid w:val="0016669F"/>
    <w:rsid w:val="00265F9D"/>
    <w:rsid w:val="002A07D2"/>
    <w:rsid w:val="002C18B5"/>
    <w:rsid w:val="002F5F37"/>
    <w:rsid w:val="003016EB"/>
    <w:rsid w:val="003B7E32"/>
    <w:rsid w:val="003D19B7"/>
    <w:rsid w:val="00452B6B"/>
    <w:rsid w:val="004573BA"/>
    <w:rsid w:val="004A6964"/>
    <w:rsid w:val="004D60DA"/>
    <w:rsid w:val="00550386"/>
    <w:rsid w:val="00570894"/>
    <w:rsid w:val="006423CA"/>
    <w:rsid w:val="006B4AB6"/>
    <w:rsid w:val="00715CC7"/>
    <w:rsid w:val="00802D90"/>
    <w:rsid w:val="00827BF7"/>
    <w:rsid w:val="008301C1"/>
    <w:rsid w:val="008317EE"/>
    <w:rsid w:val="008350FA"/>
    <w:rsid w:val="00836FB6"/>
    <w:rsid w:val="008721CE"/>
    <w:rsid w:val="008B702E"/>
    <w:rsid w:val="009149BD"/>
    <w:rsid w:val="009349E8"/>
    <w:rsid w:val="009D36C4"/>
    <w:rsid w:val="009E46CA"/>
    <w:rsid w:val="00A00653"/>
    <w:rsid w:val="00A15492"/>
    <w:rsid w:val="00AA2F16"/>
    <w:rsid w:val="00B567E0"/>
    <w:rsid w:val="00B80910"/>
    <w:rsid w:val="00B92323"/>
    <w:rsid w:val="00CB682F"/>
    <w:rsid w:val="00D11466"/>
    <w:rsid w:val="00D92E94"/>
    <w:rsid w:val="00DD3B76"/>
    <w:rsid w:val="00DF16C5"/>
    <w:rsid w:val="00E66813"/>
    <w:rsid w:val="00E957E5"/>
    <w:rsid w:val="00F0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C65F2"/>
  <w15:docId w15:val="{F31B02F8-4CCB-45C5-8AC9-2DC4395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51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1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92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232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2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2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3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71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ASSIST_Espa_-ol.doc</vt:lpstr>
    </vt:vector>
  </TitlesOfParts>
  <Company>HP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ASSIST_Espa_-ol.doc</dc:title>
  <dc:creator>Andres</dc:creator>
  <cp:lastModifiedBy>MARCELA  BOHORQUEZ ROSAS</cp:lastModifiedBy>
  <cp:revision>2</cp:revision>
  <dcterms:created xsi:type="dcterms:W3CDTF">2023-07-17T15:55:00Z</dcterms:created>
  <dcterms:modified xsi:type="dcterms:W3CDTF">2023-07-17T15:55:00Z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2020-07-01T00:00:00Z</vt:filetime>
  </property>
</Properties>
</file>