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097280" cy="691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dialab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91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Formato de envío de material de prensa</w:t>
      </w:r>
    </w:p>
    <w:p>
      <w:pPr>
        <w:jc w:val="center"/>
      </w:pPr>
      <w:r>
        <w:t>Subportal Comunicación Social – MediaLab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Nombre de la nota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Autor(es)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Materia de realización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Año de realización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Material gráfico (adjunto o enlace)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Material escrito (adjunto o enlace)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</w:tbl>
    <w:p>
      <w:pPr>
        <w:jc w:val="left"/>
      </w:pPr>
      <w:r>
        <w:br/>
        <w:t>📩 Enviar el formato diligenciado y el material correspondiente al correo: comsocial_medialab@unipamplona.edu.co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